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F25" w:rsidRPr="003D0F25" w:rsidRDefault="003D0F25" w:rsidP="00E20E56">
      <w:pPr>
        <w:spacing w:after="0" w:line="240" w:lineRule="auto"/>
        <w:rPr>
          <w:b/>
          <w:sz w:val="44"/>
          <w:szCs w:val="44"/>
        </w:rPr>
      </w:pPr>
    </w:p>
    <w:tbl>
      <w:tblPr>
        <w:tblStyle w:val="TableGrid"/>
        <w:tblW w:w="0" w:type="auto"/>
        <w:tblLook w:val="04A0"/>
      </w:tblPr>
      <w:tblGrid>
        <w:gridCol w:w="5778"/>
        <w:gridCol w:w="1620"/>
        <w:gridCol w:w="7218"/>
      </w:tblGrid>
      <w:tr w:rsidR="003D0F25" w:rsidRPr="003D0F25" w:rsidTr="003D0F25">
        <w:tc>
          <w:tcPr>
            <w:tcW w:w="5778" w:type="dxa"/>
          </w:tcPr>
          <w:p w:rsidR="003D0F25" w:rsidRPr="003D0F25" w:rsidRDefault="003D0F25" w:rsidP="003D0F25">
            <w:pPr>
              <w:jc w:val="center"/>
              <w:rPr>
                <w:b/>
                <w:sz w:val="44"/>
                <w:szCs w:val="44"/>
              </w:rPr>
            </w:pPr>
            <w:r w:rsidRPr="003D0F25">
              <w:rPr>
                <w:b/>
                <w:sz w:val="44"/>
                <w:szCs w:val="44"/>
              </w:rPr>
              <w:t>3 Priorities</w:t>
            </w:r>
          </w:p>
        </w:tc>
        <w:tc>
          <w:tcPr>
            <w:tcW w:w="1620" w:type="dxa"/>
            <w:vMerge w:val="restart"/>
            <w:tcBorders>
              <w:top w:val="nil"/>
              <w:bottom w:val="nil"/>
            </w:tcBorders>
          </w:tcPr>
          <w:p w:rsidR="003D0F25" w:rsidRPr="003D0F25" w:rsidRDefault="003D0F25" w:rsidP="003D0F25">
            <w:pPr>
              <w:rPr>
                <w:b/>
                <w:sz w:val="44"/>
                <w:szCs w:val="44"/>
              </w:rPr>
            </w:pPr>
          </w:p>
          <w:p w:rsidR="003D0F25" w:rsidRPr="003D0F25" w:rsidRDefault="003D0F25" w:rsidP="003D0F25">
            <w:pPr>
              <w:rPr>
                <w:b/>
                <w:sz w:val="44"/>
                <w:szCs w:val="44"/>
              </w:rPr>
            </w:pPr>
          </w:p>
          <w:p w:rsidR="003D0F25" w:rsidRPr="003D0F25" w:rsidRDefault="003D0F25" w:rsidP="00E20E56">
            <w:pPr>
              <w:rPr>
                <w:b/>
                <w:sz w:val="44"/>
                <w:szCs w:val="44"/>
              </w:rPr>
            </w:pPr>
          </w:p>
          <w:p w:rsidR="003D0F25" w:rsidRPr="003D0F25" w:rsidRDefault="003D0F25" w:rsidP="00E20E56">
            <w:pPr>
              <w:rPr>
                <w:b/>
                <w:sz w:val="44"/>
                <w:szCs w:val="44"/>
              </w:rPr>
            </w:pPr>
          </w:p>
          <w:p w:rsidR="003D0F25" w:rsidRPr="003D0F25" w:rsidRDefault="003D0F25" w:rsidP="00E20E56">
            <w:pPr>
              <w:rPr>
                <w:b/>
                <w:sz w:val="44"/>
                <w:szCs w:val="44"/>
              </w:rPr>
            </w:pPr>
          </w:p>
          <w:p w:rsidR="003D0F25" w:rsidRPr="003D0F25" w:rsidRDefault="003D0F25" w:rsidP="00E20E56">
            <w:pPr>
              <w:rPr>
                <w:b/>
                <w:sz w:val="44"/>
                <w:szCs w:val="44"/>
              </w:rPr>
            </w:pPr>
          </w:p>
          <w:p w:rsidR="003D0F25" w:rsidRPr="003D0F25" w:rsidRDefault="00DD7294" w:rsidP="00E20E56">
            <w:pPr>
              <w:rPr>
                <w:b/>
                <w:sz w:val="44"/>
                <w:szCs w:val="44"/>
              </w:rPr>
            </w:pPr>
            <w:r>
              <w:rPr>
                <w:b/>
                <w:noProof/>
                <w:sz w:val="44"/>
                <w:szCs w:val="44"/>
              </w:rPr>
              <w:pict>
                <v:shapetype id="_x0000_t202" coordsize="21600,21600" o:spt="202" path="m,l,21600r21600,l21600,xe">
                  <v:stroke joinstyle="miter"/>
                  <v:path gradientshapeok="t" o:connecttype="rect"/>
                </v:shapetype>
                <v:shape id="_x0000_s1054" type="#_x0000_t202" style="position:absolute;margin-left:15.05pt;margin-top:45.8pt;width:43.65pt;height:37.75pt;z-index:251676672" fillcolor="#bfbfbf [2412]" stroked="f">
                  <v:textbox>
                    <w:txbxContent>
                      <w:p w:rsidR="003D0F25" w:rsidRDefault="003D0F25">
                        <w:r>
                          <w:t>Led To…</w:t>
                        </w:r>
                      </w:p>
                    </w:txbxContent>
                  </v:textbox>
                </v:shape>
              </w:pict>
            </w:r>
            <w:r>
              <w:rPr>
                <w:b/>
                <w:noProof/>
                <w:sz w:val="44"/>
                <w:szCs w:val="4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3" type="#_x0000_t13" style="position:absolute;margin-left:4.4pt;margin-top:6.1pt;width:61.4pt;height:118.05pt;z-index:251675648" fillcolor="#bfbfbf [2412]"/>
              </w:pict>
            </w:r>
          </w:p>
        </w:tc>
        <w:tc>
          <w:tcPr>
            <w:tcW w:w="7218" w:type="dxa"/>
          </w:tcPr>
          <w:p w:rsidR="003D0F25" w:rsidRPr="003D0F25" w:rsidRDefault="003D0F25" w:rsidP="003D0F25">
            <w:pPr>
              <w:jc w:val="center"/>
              <w:rPr>
                <w:b/>
                <w:sz w:val="44"/>
                <w:szCs w:val="44"/>
              </w:rPr>
            </w:pPr>
            <w:r w:rsidRPr="003D0F25">
              <w:rPr>
                <w:b/>
                <w:sz w:val="44"/>
                <w:szCs w:val="44"/>
              </w:rPr>
              <w:t>2 Recommendations</w:t>
            </w:r>
          </w:p>
        </w:tc>
      </w:tr>
      <w:tr w:rsidR="003D0F25" w:rsidTr="003D0F25">
        <w:tc>
          <w:tcPr>
            <w:tcW w:w="5778" w:type="dxa"/>
          </w:tcPr>
          <w:p w:rsidR="003D0F25" w:rsidRDefault="003D0F25" w:rsidP="003D0F25">
            <w:pPr>
              <w:spacing w:before="100" w:beforeAutospacing="1" w:after="100" w:afterAutospacing="1"/>
              <w:ind w:left="360"/>
              <w:rPr>
                <w:rFonts w:eastAsia="Times New Roman" w:cs="Arial"/>
                <w:sz w:val="28"/>
                <w:szCs w:val="28"/>
              </w:rPr>
            </w:pPr>
          </w:p>
          <w:p w:rsidR="003D0F25" w:rsidRPr="003D0F25" w:rsidRDefault="003D0F25" w:rsidP="003D0F25">
            <w:pPr>
              <w:spacing w:before="100" w:beforeAutospacing="1" w:after="100" w:afterAutospacing="1"/>
              <w:ind w:left="360"/>
              <w:rPr>
                <w:rFonts w:eastAsia="Times New Roman" w:cs="Arial"/>
                <w:sz w:val="28"/>
                <w:szCs w:val="28"/>
              </w:rPr>
            </w:pPr>
          </w:p>
          <w:p w:rsidR="003D0F25" w:rsidRPr="003D0F25" w:rsidRDefault="003D0F25" w:rsidP="003D0F25">
            <w:pPr>
              <w:numPr>
                <w:ilvl w:val="0"/>
                <w:numId w:val="4"/>
              </w:numPr>
              <w:tabs>
                <w:tab w:val="clear" w:pos="720"/>
                <w:tab w:val="num" w:pos="360"/>
              </w:tabs>
              <w:spacing w:before="100" w:beforeAutospacing="1" w:after="100" w:afterAutospacing="1"/>
              <w:ind w:left="360"/>
              <w:rPr>
                <w:rFonts w:eastAsia="Times New Roman" w:cs="Arial"/>
                <w:sz w:val="28"/>
                <w:szCs w:val="28"/>
              </w:rPr>
            </w:pPr>
            <w:r w:rsidRPr="003D0F25">
              <w:rPr>
                <w:rFonts w:eastAsia="Times New Roman" w:cs="Times New Roman"/>
                <w:sz w:val="28"/>
                <w:szCs w:val="28"/>
              </w:rPr>
              <w:t>Address high intensity behaviors that present a safety issue</w:t>
            </w:r>
            <w:r w:rsidRPr="003D0F25">
              <w:rPr>
                <w:rFonts w:eastAsia="Times New Roman" w:cs="Arial"/>
                <w:sz w:val="28"/>
                <w:szCs w:val="28"/>
              </w:rPr>
              <w:t xml:space="preserve"> </w:t>
            </w:r>
          </w:p>
          <w:p w:rsidR="003D0F25" w:rsidRPr="003D0F25" w:rsidRDefault="003D0F25" w:rsidP="003D0F25">
            <w:pPr>
              <w:spacing w:before="100" w:beforeAutospacing="1" w:after="100" w:afterAutospacing="1"/>
              <w:rPr>
                <w:rFonts w:eastAsia="Times New Roman" w:cs="Arial"/>
                <w:sz w:val="28"/>
                <w:szCs w:val="28"/>
              </w:rPr>
            </w:pPr>
          </w:p>
          <w:p w:rsidR="003D0F25" w:rsidRPr="003D0F25" w:rsidRDefault="003D0F25" w:rsidP="003D0F25">
            <w:pPr>
              <w:numPr>
                <w:ilvl w:val="0"/>
                <w:numId w:val="4"/>
              </w:numPr>
              <w:tabs>
                <w:tab w:val="clear" w:pos="720"/>
                <w:tab w:val="num" w:pos="360"/>
              </w:tabs>
              <w:spacing w:before="100" w:beforeAutospacing="1" w:after="100" w:afterAutospacing="1"/>
              <w:ind w:left="360"/>
              <w:rPr>
                <w:rFonts w:eastAsia="Times New Roman" w:cs="Arial"/>
                <w:sz w:val="28"/>
                <w:szCs w:val="28"/>
              </w:rPr>
            </w:pPr>
            <w:r w:rsidRPr="003D0F25">
              <w:rPr>
                <w:rFonts w:eastAsia="Times New Roman" w:cs="Times New Roman"/>
                <w:sz w:val="28"/>
                <w:szCs w:val="28"/>
              </w:rPr>
              <w:t>Streamline the process to match current resources while establishing a system that consistently works grade to grade, school to school, and level to level for the purpose of transitions and ensuring that the process (graphing) is sensitive enough to identify cases of mental illness (3 pts. Below, 18 week, trend line)</w:t>
            </w:r>
            <w:r w:rsidRPr="003D0F25">
              <w:rPr>
                <w:rFonts w:eastAsia="Times New Roman" w:cs="Arial"/>
                <w:sz w:val="28"/>
                <w:szCs w:val="28"/>
              </w:rPr>
              <w:t xml:space="preserve"> </w:t>
            </w:r>
          </w:p>
          <w:p w:rsidR="003D0F25" w:rsidRPr="003D0F25" w:rsidRDefault="003D0F25" w:rsidP="003D0F25">
            <w:pPr>
              <w:pStyle w:val="ListParagraph"/>
              <w:rPr>
                <w:rFonts w:eastAsia="Times New Roman" w:cs="Times New Roman"/>
                <w:sz w:val="28"/>
                <w:szCs w:val="28"/>
              </w:rPr>
            </w:pPr>
          </w:p>
          <w:p w:rsidR="003D0F25" w:rsidRPr="003D0F25" w:rsidRDefault="003D0F25" w:rsidP="003D0F25">
            <w:pPr>
              <w:numPr>
                <w:ilvl w:val="0"/>
                <w:numId w:val="4"/>
              </w:numPr>
              <w:tabs>
                <w:tab w:val="clear" w:pos="720"/>
                <w:tab w:val="num" w:pos="360"/>
              </w:tabs>
              <w:spacing w:before="100" w:beforeAutospacing="1" w:after="100" w:afterAutospacing="1"/>
              <w:ind w:left="360"/>
              <w:rPr>
                <w:rFonts w:ascii="Arial" w:eastAsia="Times New Roman" w:hAnsi="Arial" w:cs="Arial"/>
                <w:sz w:val="24"/>
                <w:szCs w:val="24"/>
              </w:rPr>
            </w:pPr>
            <w:r w:rsidRPr="003D0F25">
              <w:rPr>
                <w:rFonts w:eastAsia="Times New Roman" w:cs="Times New Roman"/>
                <w:sz w:val="28"/>
                <w:szCs w:val="28"/>
              </w:rPr>
              <w:t>Address the lack of social/school skills curriculum for the general education classroom and the gap in teacher preparation in the area classroom management/behavior</w:t>
            </w:r>
          </w:p>
        </w:tc>
        <w:tc>
          <w:tcPr>
            <w:tcW w:w="1620" w:type="dxa"/>
            <w:vMerge/>
            <w:tcBorders>
              <w:bottom w:val="nil"/>
            </w:tcBorders>
          </w:tcPr>
          <w:p w:rsidR="003D0F25" w:rsidRDefault="003D0F25" w:rsidP="00E20E56">
            <w:pPr>
              <w:rPr>
                <w:sz w:val="44"/>
                <w:szCs w:val="44"/>
              </w:rPr>
            </w:pPr>
          </w:p>
        </w:tc>
        <w:tc>
          <w:tcPr>
            <w:tcW w:w="7218" w:type="dxa"/>
          </w:tcPr>
          <w:p w:rsidR="003D0F25" w:rsidRPr="003D0F25" w:rsidRDefault="003D0F25" w:rsidP="003D0F25">
            <w:pPr>
              <w:pStyle w:val="ListParagraph"/>
              <w:numPr>
                <w:ilvl w:val="0"/>
                <w:numId w:val="3"/>
              </w:numPr>
              <w:rPr>
                <w:sz w:val="28"/>
                <w:szCs w:val="28"/>
              </w:rPr>
            </w:pPr>
            <w:r w:rsidRPr="003D0F25">
              <w:rPr>
                <w:sz w:val="28"/>
                <w:szCs w:val="28"/>
              </w:rPr>
              <w:t>Revise the current RTI Behavior Intervention Process:</w:t>
            </w:r>
          </w:p>
          <w:p w:rsidR="003D0F25" w:rsidRPr="00E53FC7" w:rsidRDefault="003D0F25" w:rsidP="003D0F25">
            <w:pPr>
              <w:pStyle w:val="ListParagraph"/>
              <w:numPr>
                <w:ilvl w:val="0"/>
                <w:numId w:val="2"/>
              </w:numPr>
              <w:rPr>
                <w:sz w:val="28"/>
                <w:szCs w:val="28"/>
              </w:rPr>
            </w:pPr>
            <w:r>
              <w:rPr>
                <w:sz w:val="28"/>
                <w:szCs w:val="28"/>
              </w:rPr>
              <w:t>Develop a</w:t>
            </w:r>
            <w:r w:rsidRPr="00E53FC7">
              <w:rPr>
                <w:sz w:val="28"/>
                <w:szCs w:val="28"/>
              </w:rPr>
              <w:t xml:space="preserve">n expedited process for students </w:t>
            </w:r>
            <w:r>
              <w:rPr>
                <w:sz w:val="28"/>
                <w:szCs w:val="28"/>
              </w:rPr>
              <w:t>w/</w:t>
            </w:r>
            <w:r w:rsidRPr="00E53FC7">
              <w:rPr>
                <w:sz w:val="28"/>
                <w:szCs w:val="28"/>
              </w:rPr>
              <w:t xml:space="preserve"> mental illness that makes use of the Section 504 process</w:t>
            </w:r>
          </w:p>
          <w:p w:rsidR="003D0F25" w:rsidRPr="00E53FC7" w:rsidRDefault="003D0F25" w:rsidP="003D0F25">
            <w:pPr>
              <w:pStyle w:val="ListParagraph"/>
              <w:numPr>
                <w:ilvl w:val="1"/>
                <w:numId w:val="2"/>
              </w:numPr>
              <w:rPr>
                <w:sz w:val="28"/>
                <w:szCs w:val="28"/>
              </w:rPr>
            </w:pPr>
            <w:r w:rsidRPr="00E53FC7">
              <w:rPr>
                <w:sz w:val="28"/>
                <w:szCs w:val="28"/>
              </w:rPr>
              <w:t>Create a district Tier</w:t>
            </w:r>
            <w:r>
              <w:rPr>
                <w:sz w:val="28"/>
                <w:szCs w:val="28"/>
              </w:rPr>
              <w:t>ed</w:t>
            </w:r>
            <w:r w:rsidRPr="00E53FC7">
              <w:rPr>
                <w:sz w:val="28"/>
                <w:szCs w:val="28"/>
              </w:rPr>
              <w:t xml:space="preserve"> Standard Protocol for behavioral intervention</w:t>
            </w:r>
            <w:r>
              <w:rPr>
                <w:sz w:val="28"/>
                <w:szCs w:val="28"/>
              </w:rPr>
              <w:t>/instruction</w:t>
            </w:r>
            <w:r w:rsidRPr="00E53FC7">
              <w:rPr>
                <w:sz w:val="28"/>
                <w:szCs w:val="28"/>
              </w:rPr>
              <w:t xml:space="preserve"> to help schools to answer “What do you do?” when the student presents behavior issues that interfere with learning of themselves and others.  The Tier</w:t>
            </w:r>
            <w:r>
              <w:rPr>
                <w:sz w:val="28"/>
                <w:szCs w:val="28"/>
              </w:rPr>
              <w:t>ed</w:t>
            </w:r>
            <w:r w:rsidRPr="00E53FC7">
              <w:rPr>
                <w:sz w:val="28"/>
                <w:szCs w:val="28"/>
              </w:rPr>
              <w:t xml:space="preserve"> Standard Protocol will include the following elements:</w:t>
            </w:r>
          </w:p>
          <w:p w:rsidR="003D0F25" w:rsidRPr="00E53FC7" w:rsidRDefault="003D0F25" w:rsidP="003D0F25">
            <w:pPr>
              <w:pStyle w:val="ListParagraph"/>
              <w:numPr>
                <w:ilvl w:val="2"/>
                <w:numId w:val="2"/>
              </w:numPr>
              <w:rPr>
                <w:sz w:val="28"/>
                <w:szCs w:val="28"/>
              </w:rPr>
            </w:pPr>
            <w:r w:rsidRPr="00E53FC7">
              <w:rPr>
                <w:sz w:val="28"/>
                <w:szCs w:val="28"/>
              </w:rPr>
              <w:t>Interventions</w:t>
            </w:r>
          </w:p>
          <w:p w:rsidR="003D0F25" w:rsidRPr="00E53FC7" w:rsidRDefault="003D0F25" w:rsidP="003D0F25">
            <w:pPr>
              <w:pStyle w:val="ListParagraph"/>
              <w:numPr>
                <w:ilvl w:val="2"/>
                <w:numId w:val="2"/>
              </w:numPr>
              <w:rPr>
                <w:sz w:val="28"/>
                <w:szCs w:val="28"/>
              </w:rPr>
            </w:pPr>
            <w:r w:rsidRPr="00E53FC7">
              <w:rPr>
                <w:sz w:val="28"/>
                <w:szCs w:val="28"/>
              </w:rPr>
              <w:t>Measures</w:t>
            </w:r>
          </w:p>
          <w:p w:rsidR="003D0F25" w:rsidRPr="00E53FC7" w:rsidRDefault="003D0F25" w:rsidP="003D0F25">
            <w:pPr>
              <w:pStyle w:val="ListParagraph"/>
              <w:numPr>
                <w:ilvl w:val="2"/>
                <w:numId w:val="2"/>
              </w:numPr>
              <w:rPr>
                <w:sz w:val="28"/>
                <w:szCs w:val="28"/>
              </w:rPr>
            </w:pPr>
            <w:r w:rsidRPr="00E53FC7">
              <w:rPr>
                <w:sz w:val="28"/>
                <w:szCs w:val="28"/>
              </w:rPr>
              <w:t xml:space="preserve">Universal Screening </w:t>
            </w:r>
          </w:p>
          <w:p w:rsidR="003D0F25" w:rsidRPr="00E53FC7" w:rsidRDefault="003D0F25" w:rsidP="003D0F25">
            <w:pPr>
              <w:pStyle w:val="ListParagraph"/>
              <w:numPr>
                <w:ilvl w:val="0"/>
                <w:numId w:val="2"/>
              </w:numPr>
              <w:rPr>
                <w:sz w:val="28"/>
                <w:szCs w:val="28"/>
              </w:rPr>
            </w:pPr>
            <w:r>
              <w:rPr>
                <w:sz w:val="28"/>
                <w:szCs w:val="28"/>
              </w:rPr>
              <w:t>Ensure a</w:t>
            </w:r>
            <w:r w:rsidRPr="00E53FC7">
              <w:rPr>
                <w:sz w:val="28"/>
                <w:szCs w:val="28"/>
              </w:rPr>
              <w:t>lignment to existing Regulation &amp;  Law</w:t>
            </w:r>
          </w:p>
          <w:p w:rsidR="003D0F25" w:rsidRPr="00E53FC7" w:rsidRDefault="003D0F25" w:rsidP="003D0F25">
            <w:pPr>
              <w:pStyle w:val="ListParagraph"/>
              <w:numPr>
                <w:ilvl w:val="0"/>
                <w:numId w:val="2"/>
              </w:numPr>
              <w:rPr>
                <w:sz w:val="28"/>
                <w:szCs w:val="28"/>
              </w:rPr>
            </w:pPr>
            <w:r>
              <w:rPr>
                <w:sz w:val="28"/>
                <w:szCs w:val="28"/>
              </w:rPr>
              <w:t>Include a</w:t>
            </w:r>
            <w:r w:rsidRPr="00E53FC7">
              <w:rPr>
                <w:sz w:val="28"/>
                <w:szCs w:val="28"/>
              </w:rPr>
              <w:t xml:space="preserve"> focus on improved academic performance </w:t>
            </w:r>
            <w:r>
              <w:rPr>
                <w:sz w:val="28"/>
                <w:szCs w:val="28"/>
              </w:rPr>
              <w:t xml:space="preserve">that </w:t>
            </w:r>
            <w:r w:rsidRPr="00E53FC7">
              <w:rPr>
                <w:sz w:val="28"/>
                <w:szCs w:val="28"/>
              </w:rPr>
              <w:t xml:space="preserve"> includes flow charts, checklists, charting systems</w:t>
            </w:r>
          </w:p>
          <w:p w:rsidR="003D0F25" w:rsidRPr="00E53FC7" w:rsidRDefault="003D0F25" w:rsidP="003D0F25">
            <w:pPr>
              <w:pStyle w:val="ListParagraph"/>
              <w:numPr>
                <w:ilvl w:val="0"/>
                <w:numId w:val="2"/>
              </w:numPr>
              <w:rPr>
                <w:sz w:val="28"/>
                <w:szCs w:val="28"/>
              </w:rPr>
            </w:pPr>
            <w:r w:rsidRPr="00E53FC7">
              <w:rPr>
                <w:sz w:val="28"/>
                <w:szCs w:val="28"/>
              </w:rPr>
              <w:t xml:space="preserve">Identify and convene </w:t>
            </w:r>
            <w:r>
              <w:rPr>
                <w:sz w:val="28"/>
                <w:szCs w:val="28"/>
              </w:rPr>
              <w:t xml:space="preserve">some </w:t>
            </w:r>
            <w:r w:rsidRPr="00E53FC7">
              <w:rPr>
                <w:sz w:val="28"/>
                <w:szCs w:val="28"/>
              </w:rPr>
              <w:t>current and additional group members who have strong expertise and experience with the tasks identified</w:t>
            </w:r>
            <w:r>
              <w:rPr>
                <w:sz w:val="28"/>
                <w:szCs w:val="28"/>
              </w:rPr>
              <w:t xml:space="preserve"> to address the recommendations</w:t>
            </w:r>
          </w:p>
          <w:p w:rsidR="003D0F25" w:rsidRPr="003D0F25" w:rsidRDefault="003D0F25" w:rsidP="003D0F25">
            <w:pPr>
              <w:pStyle w:val="ListParagraph"/>
              <w:numPr>
                <w:ilvl w:val="0"/>
                <w:numId w:val="3"/>
              </w:numPr>
              <w:rPr>
                <w:sz w:val="28"/>
                <w:szCs w:val="28"/>
              </w:rPr>
            </w:pPr>
            <w:r w:rsidRPr="003D0F25">
              <w:rPr>
                <w:sz w:val="28"/>
                <w:szCs w:val="28"/>
              </w:rPr>
              <w:t>Recommend to leadership that social skill and behavior instruction and assessment for the whole school (Tier 1) at every NHCS school is in need of strengthening and emphasis.  Existing resources such as Second Step and Positive Behavior Intervention and Support (PBIS) could be deployed to accomplish this recommendation.</w:t>
            </w:r>
          </w:p>
        </w:tc>
      </w:tr>
    </w:tbl>
    <w:p w:rsidR="003D0F25" w:rsidRDefault="003D0F25" w:rsidP="00E20E56">
      <w:pPr>
        <w:spacing w:after="0" w:line="240" w:lineRule="auto"/>
        <w:rPr>
          <w:sz w:val="44"/>
          <w:szCs w:val="44"/>
        </w:rPr>
      </w:pPr>
    </w:p>
    <w:p w:rsidR="00121CED" w:rsidRPr="00E20E56" w:rsidRDefault="00FA1997" w:rsidP="00E20E56">
      <w:pPr>
        <w:spacing w:after="0" w:line="240" w:lineRule="auto"/>
        <w:rPr>
          <w:sz w:val="44"/>
          <w:szCs w:val="44"/>
        </w:rPr>
      </w:pPr>
      <w:r>
        <w:rPr>
          <w:noProof/>
          <w:sz w:val="44"/>
          <w:szCs w:val="44"/>
          <w:lang w:eastAsia="zh-TW"/>
        </w:rPr>
        <w:lastRenderedPageBreak/>
        <w:pict>
          <v:shape id="_x0000_s1044" type="#_x0000_t202" style="position:absolute;margin-left:144.65pt;margin-top:527pt;width:453.05pt;height:131.95pt;z-index:251666432;mso-width-relative:margin;mso-height-relative:margin" stroked="f">
            <v:fill opacity="0"/>
            <v:textbox style="mso-next-textbox:#_x0000_s1044">
              <w:txbxContent>
                <w:p w:rsidR="000D3C76" w:rsidRPr="00A87CAD" w:rsidRDefault="000D3C76" w:rsidP="000D3C76">
                  <w:pPr>
                    <w:jc w:val="center"/>
                    <w:rPr>
                      <w:b/>
                      <w:sz w:val="50"/>
                      <w:szCs w:val="50"/>
                      <w:u w:val="single"/>
                    </w:rPr>
                  </w:pPr>
                  <w:r w:rsidRPr="00A87CAD">
                    <w:rPr>
                      <w:b/>
                      <w:sz w:val="50"/>
                      <w:szCs w:val="50"/>
                      <w:u w:val="single"/>
                    </w:rPr>
                    <w:t xml:space="preserve">RTI &amp; BEHAVIOR </w:t>
                  </w:r>
                </w:p>
              </w:txbxContent>
            </v:textbox>
          </v:shape>
        </w:pict>
      </w:r>
      <w:r>
        <w:rPr>
          <w:noProof/>
          <w:sz w:val="44"/>
          <w:szCs w:val="4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margin-left:-17.15pt;margin-top:-13.2pt;width:754.25pt;height:546.85pt;z-index:251658240" adj="10801"/>
        </w:pict>
      </w:r>
      <w:r w:rsidR="00DD7294">
        <w:rPr>
          <w:noProof/>
          <w:sz w:val="44"/>
          <w:szCs w:val="44"/>
        </w:rPr>
        <w:pict>
          <v:shape id="_x0000_s1050" type="#_x0000_t202" style="position:absolute;margin-left:432.9pt;margin-top:41.9pt;width:63.75pt;height:27.15pt;z-index:251672576" stroked="f">
            <v:textbox style="mso-next-textbox:#_x0000_s1050">
              <w:txbxContent>
                <w:p w:rsidR="000D3C76" w:rsidRPr="000D3C76" w:rsidRDefault="000D3C76" w:rsidP="000D3C76">
                  <w:pPr>
                    <w:rPr>
                      <w:sz w:val="40"/>
                      <w:szCs w:val="40"/>
                    </w:rPr>
                  </w:pPr>
                  <w:r>
                    <w:rPr>
                      <w:sz w:val="40"/>
                      <w:szCs w:val="40"/>
                    </w:rPr>
                    <w:t>Tier 3</w:t>
                  </w:r>
                </w:p>
              </w:txbxContent>
            </v:textbox>
          </v:shape>
        </w:pict>
      </w:r>
      <w:r w:rsidR="00DD7294">
        <w:rPr>
          <w:noProof/>
          <w:sz w:val="44"/>
          <w:szCs w:val="44"/>
        </w:rPr>
        <w:pict>
          <v:shape id="_x0000_s1049" type="#_x0000_t202" style="position:absolute;margin-left:524.95pt;margin-top:167pt;width:63.75pt;height:27.15pt;z-index:251671552" stroked="f">
            <v:textbox style="mso-next-textbox:#_x0000_s1049">
              <w:txbxContent>
                <w:p w:rsidR="000D3C76" w:rsidRPr="000D3C76" w:rsidRDefault="000D3C76" w:rsidP="000D3C76">
                  <w:pPr>
                    <w:rPr>
                      <w:sz w:val="40"/>
                      <w:szCs w:val="40"/>
                    </w:rPr>
                  </w:pPr>
                  <w:r>
                    <w:rPr>
                      <w:sz w:val="40"/>
                      <w:szCs w:val="40"/>
                    </w:rPr>
                    <w:t>Tier 2</w:t>
                  </w:r>
                </w:p>
              </w:txbxContent>
            </v:textbox>
          </v:shape>
        </w:pict>
      </w:r>
      <w:r w:rsidR="00DD7294">
        <w:rPr>
          <w:noProof/>
          <w:sz w:val="44"/>
          <w:szCs w:val="44"/>
        </w:rPr>
        <w:pict>
          <v:shape id="_x0000_s1048" type="#_x0000_t202" style="position:absolute;margin-left:646.35pt;margin-top:357.25pt;width:63.75pt;height:27.15pt;z-index:251670528" stroked="f">
            <v:textbox style="mso-next-textbox:#_x0000_s1048">
              <w:txbxContent>
                <w:p w:rsidR="000D3C76" w:rsidRPr="000D3C76" w:rsidRDefault="000D3C76" w:rsidP="000D3C76">
                  <w:pPr>
                    <w:rPr>
                      <w:sz w:val="40"/>
                      <w:szCs w:val="40"/>
                    </w:rPr>
                  </w:pPr>
                  <w:r w:rsidRPr="000D3C76">
                    <w:rPr>
                      <w:sz w:val="40"/>
                      <w:szCs w:val="40"/>
                    </w:rPr>
                    <w:t>Tier 1</w:t>
                  </w:r>
                </w:p>
              </w:txbxContent>
            </v:textbox>
          </v:shape>
        </w:pict>
      </w:r>
      <w:r w:rsidR="00DD7294">
        <w:rPr>
          <w:noProof/>
          <w:sz w:val="44"/>
          <w:szCs w:val="44"/>
        </w:rPr>
        <w:pict>
          <v:shape id="_x0000_s1047" type="#_x0000_t202" style="position:absolute;margin-left:226.05pt;margin-top:41.9pt;width:63.75pt;height:27.15pt;z-index:251669504" stroked="f">
            <v:textbox style="mso-next-textbox:#_x0000_s1047">
              <w:txbxContent>
                <w:p w:rsidR="000D3C76" w:rsidRPr="000D3C76" w:rsidRDefault="000D3C76" w:rsidP="000D3C76">
                  <w:pPr>
                    <w:rPr>
                      <w:sz w:val="40"/>
                      <w:szCs w:val="40"/>
                    </w:rPr>
                  </w:pPr>
                  <w:r>
                    <w:rPr>
                      <w:sz w:val="40"/>
                      <w:szCs w:val="40"/>
                    </w:rPr>
                    <w:t>Tier 3</w:t>
                  </w:r>
                </w:p>
              </w:txbxContent>
            </v:textbox>
          </v:shape>
        </w:pict>
      </w:r>
      <w:r w:rsidR="00DD7294">
        <w:rPr>
          <w:noProof/>
          <w:sz w:val="44"/>
          <w:szCs w:val="44"/>
        </w:rPr>
        <w:pict>
          <v:shape id="_x0000_s1046" type="#_x0000_t202" style="position:absolute;margin-left:121pt;margin-top:172.9pt;width:63.75pt;height:27.15pt;z-index:251668480" stroked="f">
            <v:textbox style="mso-next-textbox:#_x0000_s1046">
              <w:txbxContent>
                <w:p w:rsidR="000D3C76" w:rsidRPr="000D3C76" w:rsidRDefault="000D3C76" w:rsidP="000D3C76">
                  <w:pPr>
                    <w:rPr>
                      <w:sz w:val="40"/>
                      <w:szCs w:val="40"/>
                    </w:rPr>
                  </w:pPr>
                  <w:r>
                    <w:rPr>
                      <w:sz w:val="40"/>
                      <w:szCs w:val="40"/>
                    </w:rPr>
                    <w:t>Tier 2</w:t>
                  </w:r>
                </w:p>
              </w:txbxContent>
            </v:textbox>
          </v:shape>
        </w:pict>
      </w:r>
      <w:r w:rsidR="00DD7294">
        <w:rPr>
          <w:noProof/>
          <w:sz w:val="44"/>
          <w:szCs w:val="44"/>
        </w:rPr>
        <w:pict>
          <v:shape id="_x0000_s1045" type="#_x0000_t202" style="position:absolute;margin-left:11pt;margin-top:345.25pt;width:63.75pt;height:27.15pt;z-index:251667456" stroked="f">
            <v:textbox style="mso-next-textbox:#_x0000_s1045">
              <w:txbxContent>
                <w:p w:rsidR="000D3C76" w:rsidRPr="000D3C76" w:rsidRDefault="000D3C76">
                  <w:pPr>
                    <w:rPr>
                      <w:sz w:val="40"/>
                      <w:szCs w:val="40"/>
                    </w:rPr>
                  </w:pPr>
                  <w:r w:rsidRPr="000D3C76">
                    <w:rPr>
                      <w:sz w:val="40"/>
                      <w:szCs w:val="40"/>
                    </w:rPr>
                    <w:t>Tier 1</w:t>
                  </w:r>
                </w:p>
              </w:txbxContent>
            </v:textbox>
          </v:shape>
        </w:pict>
      </w:r>
      <w:r w:rsidR="00DD7294">
        <w:rPr>
          <w:noProof/>
          <w:sz w:val="44"/>
          <w:szCs w:val="44"/>
        </w:rPr>
        <w:pict>
          <v:shapetype id="_x0000_t32" coordsize="21600,21600" o:spt="32" o:oned="t" path="m,l21600,21600e" filled="f">
            <v:path arrowok="t" fillok="f" o:connecttype="none"/>
            <o:lock v:ext="edit" shapetype="t"/>
          </v:shapetype>
          <v:shape id="_x0000_s1040" type="#_x0000_t32" style="position:absolute;margin-left:360.6pt;margin-top:-13.2pt;width:0;height:547.3pt;z-index:251662336" o:connectortype="straight" strokeweight="3pt"/>
        </w:pict>
      </w:r>
      <w:r w:rsidR="00DD7294">
        <w:rPr>
          <w:noProof/>
          <w:sz w:val="44"/>
          <w:szCs w:val="44"/>
        </w:rPr>
        <w:pict>
          <v:shape id="_x0000_s1041" type="#_x0000_t32" style="position:absolute;margin-left:163.5pt;margin-top:280.35pt;width:395.4pt;height:.05pt;z-index:251663360" o:connectortype="straight"/>
        </w:pict>
      </w:r>
      <w:r w:rsidR="00DD7294">
        <w:rPr>
          <w:noProof/>
          <w:sz w:val="44"/>
          <w:szCs w:val="44"/>
        </w:rPr>
        <w:pict>
          <v:shape id="_x0000_s1042" type="#_x0000_t32" style="position:absolute;margin-left:272.05pt;margin-top:119.85pt;width:181.8pt;height:0;z-index:251664384" o:connectortype="straight"/>
        </w:pict>
      </w:r>
      <w:r w:rsidR="00DD7294">
        <w:rPr>
          <w:noProof/>
          <w:sz w:val="44"/>
          <w:szCs w:val="44"/>
        </w:rPr>
        <w:pict>
          <v:shape id="_x0000_s1039" type="#_x0000_t202" style="position:absolute;margin-left:422.15pt;margin-top:-28.5pt;width:287.15pt;height:57.25pt;z-index:251661312;mso-width-percent:400;mso-height-percent:200;mso-width-percent:400;mso-height-percent:200;mso-width-relative:margin;mso-height-relative:margin" stroked="f">
            <v:textbox style="mso-next-textbox:#_x0000_s1039;mso-fit-shape-to-text:t">
              <w:txbxContent>
                <w:p w:rsidR="00E20E56" w:rsidRPr="000D3C76" w:rsidRDefault="00E20E56" w:rsidP="00E20E56">
                  <w:pPr>
                    <w:jc w:val="center"/>
                    <w:rPr>
                      <w:sz w:val="56"/>
                      <w:szCs w:val="56"/>
                      <w:u w:val="single"/>
                    </w:rPr>
                  </w:pPr>
                  <w:r w:rsidRPr="000D3C76">
                    <w:rPr>
                      <w:sz w:val="56"/>
                      <w:szCs w:val="56"/>
                      <w:u w:val="single"/>
                    </w:rPr>
                    <w:t>Strategies</w:t>
                  </w:r>
                </w:p>
              </w:txbxContent>
            </v:textbox>
          </v:shape>
        </w:pict>
      </w:r>
      <w:r w:rsidR="00DD7294">
        <w:rPr>
          <w:noProof/>
          <w:sz w:val="44"/>
          <w:szCs w:val="44"/>
          <w:lang w:eastAsia="zh-TW"/>
        </w:rPr>
        <w:pict>
          <v:shape id="_x0000_s1038" type="#_x0000_t202" style="position:absolute;margin-left:11pt;margin-top:-28.9pt;width:287.15pt;height:33.4pt;z-index:251660288;mso-width-percent:400;mso-height-percent:200;mso-width-percent:400;mso-height-percent:200;mso-width-relative:margin;mso-height-relative:margin" stroked="f">
            <v:textbox style="mso-next-textbox:#_x0000_s1038;mso-fit-shape-to-text:t">
              <w:txbxContent>
                <w:p w:rsidR="00E20E56" w:rsidRPr="000D3C76" w:rsidRDefault="00E20E56" w:rsidP="00E20E56">
                  <w:pPr>
                    <w:jc w:val="center"/>
                    <w:rPr>
                      <w:sz w:val="56"/>
                      <w:szCs w:val="56"/>
                      <w:u w:val="single"/>
                    </w:rPr>
                  </w:pPr>
                  <w:r w:rsidRPr="000D3C76">
                    <w:rPr>
                      <w:sz w:val="56"/>
                      <w:szCs w:val="56"/>
                      <w:u w:val="single"/>
                    </w:rPr>
                    <w:t>Programs/Curricula</w:t>
                  </w:r>
                </w:p>
              </w:txbxContent>
            </v:textbox>
          </v:shape>
        </w:pict>
      </w:r>
    </w:p>
    <w:sectPr w:rsidR="00121CED" w:rsidRPr="00E20E56" w:rsidSect="00E20E56">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0F25" w:rsidRDefault="003D0F25" w:rsidP="003D0F25">
      <w:pPr>
        <w:spacing w:after="0" w:line="240" w:lineRule="auto"/>
      </w:pPr>
      <w:r>
        <w:separator/>
      </w:r>
    </w:p>
  </w:endnote>
  <w:endnote w:type="continuationSeparator" w:id="0">
    <w:p w:rsidR="003D0F25" w:rsidRDefault="003D0F25" w:rsidP="003D0F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0F25" w:rsidRDefault="003D0F25" w:rsidP="003D0F25">
      <w:pPr>
        <w:spacing w:after="0" w:line="240" w:lineRule="auto"/>
      </w:pPr>
      <w:r>
        <w:separator/>
      </w:r>
    </w:p>
  </w:footnote>
  <w:footnote w:type="continuationSeparator" w:id="0">
    <w:p w:rsidR="003D0F25" w:rsidRDefault="003D0F25" w:rsidP="003D0F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048F7"/>
    <w:multiLevelType w:val="hybridMultilevel"/>
    <w:tmpl w:val="79BE11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9B7749"/>
    <w:multiLevelType w:val="multilevel"/>
    <w:tmpl w:val="FDC28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F13DD4"/>
    <w:multiLevelType w:val="hybridMultilevel"/>
    <w:tmpl w:val="38101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25425C"/>
    <w:multiLevelType w:val="hybridMultilevel"/>
    <w:tmpl w:val="DB98F4BE"/>
    <w:lvl w:ilvl="0" w:tplc="AA26ED2A">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87F0262"/>
    <w:multiLevelType w:val="hybridMultilevel"/>
    <w:tmpl w:val="5754C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F32420"/>
    <w:multiLevelType w:val="hybridMultilevel"/>
    <w:tmpl w:val="3702D8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20E56"/>
    <w:rsid w:val="000D3C76"/>
    <w:rsid w:val="001D34AC"/>
    <w:rsid w:val="0023699B"/>
    <w:rsid w:val="003D0F25"/>
    <w:rsid w:val="004A43B6"/>
    <w:rsid w:val="006312B3"/>
    <w:rsid w:val="00A3128A"/>
    <w:rsid w:val="00A87CAD"/>
    <w:rsid w:val="00DD7294"/>
    <w:rsid w:val="00E20E56"/>
    <w:rsid w:val="00FA1997"/>
    <w:rsid w:val="00FC64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6" fillcolor="white">
      <v:fill color="white"/>
    </o:shapedefaults>
    <o:shapelayout v:ext="edit">
      <o:idmap v:ext="edit" data="1"/>
      <o:rules v:ext="edit">
        <o:r id="V:Rule4" type="connector" idref="#_x0000_s1040"/>
        <o:r id="V:Rule5" type="connector" idref="#_x0000_s1042"/>
        <o:r id="V:Rule6"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4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0E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56"/>
    <w:rPr>
      <w:rFonts w:ascii="Tahoma" w:hAnsi="Tahoma" w:cs="Tahoma"/>
      <w:sz w:val="16"/>
      <w:szCs w:val="16"/>
    </w:rPr>
  </w:style>
  <w:style w:type="paragraph" w:styleId="Header">
    <w:name w:val="header"/>
    <w:basedOn w:val="Normal"/>
    <w:link w:val="HeaderChar"/>
    <w:uiPriority w:val="99"/>
    <w:semiHidden/>
    <w:unhideWhenUsed/>
    <w:rsid w:val="003D0F2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0F25"/>
  </w:style>
  <w:style w:type="paragraph" w:styleId="Footer">
    <w:name w:val="footer"/>
    <w:basedOn w:val="Normal"/>
    <w:link w:val="FooterChar"/>
    <w:uiPriority w:val="99"/>
    <w:semiHidden/>
    <w:unhideWhenUsed/>
    <w:rsid w:val="003D0F2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0F25"/>
  </w:style>
  <w:style w:type="table" w:styleId="TableGrid">
    <w:name w:val="Table Grid"/>
    <w:basedOn w:val="TableNormal"/>
    <w:uiPriority w:val="59"/>
    <w:rsid w:val="003D0F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0F2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1734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leigh.gates</dc:creator>
  <cp:keywords/>
  <dc:description/>
  <cp:lastModifiedBy>Leigh</cp:lastModifiedBy>
  <cp:revision>4</cp:revision>
  <cp:lastPrinted>2011-12-11T18:24:00Z</cp:lastPrinted>
  <dcterms:created xsi:type="dcterms:W3CDTF">2011-12-05T16:29:00Z</dcterms:created>
  <dcterms:modified xsi:type="dcterms:W3CDTF">2011-12-11T18:24:00Z</dcterms:modified>
</cp:coreProperties>
</file>